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jc w:val="center"/>
        <w:rPr>
          <w:rFonts w:hint="eastAsia" w:ascii="宋体" w:hAnsi="宋体"/>
          <w:color w:val="000000"/>
          <w:sz w:val="32"/>
          <w:szCs w:val="32"/>
        </w:rPr>
      </w:pPr>
      <w:bookmarkStart w:id="1" w:name="_GoBack"/>
      <w:bookmarkEnd w:id="1"/>
      <w:bookmarkStart w:id="0" w:name="_Toc524103472"/>
      <w:r>
        <w:rPr>
          <w:rFonts w:hint="eastAsia" w:ascii="宋体" w:hAnsi="宋体"/>
          <w:color w:val="000000"/>
          <w:sz w:val="32"/>
          <w:szCs w:val="32"/>
        </w:rPr>
        <w:t>806  经济学（宏、微观）</w:t>
      </w:r>
      <w:bookmarkEnd w:id="0"/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2" w:firstLineChars="200"/>
        <w:rPr>
          <w:rFonts w:hint="eastAsia" w:ascii="宋体" w:hAnsi="宋体" w:cs="黑体"/>
          <w:b/>
          <w:color w:val="000000"/>
          <w:szCs w:val="21"/>
        </w:rPr>
      </w:pPr>
      <w:r>
        <w:rPr>
          <w:rFonts w:hint="eastAsia" w:ascii="宋体" w:hAnsi="宋体" w:cs="黑体"/>
          <w:b/>
          <w:color w:val="000000"/>
          <w:szCs w:val="21"/>
        </w:rPr>
        <w:t>一、考试性质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adjustRightInd w:val="0"/>
        <w:ind w:firstLine="359" w:firstLineChars="171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经济学（宏、微观）是我校应用经济学所有专业统一命题、统一考试、统一阅卷的硕士研究生入学考试初试的跨院自命题科目。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adjustRightInd w:val="0"/>
        <w:ind w:firstLine="361" w:firstLineChars="171"/>
        <w:jc w:val="left"/>
        <w:rPr>
          <w:rFonts w:hint="eastAsia" w:ascii="宋体" w:hAnsi="宋体" w:cs="黑体"/>
          <w:b/>
          <w:color w:val="000000"/>
          <w:szCs w:val="21"/>
        </w:rPr>
      </w:pPr>
      <w:r>
        <w:rPr>
          <w:rFonts w:hint="eastAsia" w:ascii="宋体" w:hAnsi="宋体" w:cs="黑体"/>
          <w:b/>
          <w:color w:val="000000"/>
          <w:szCs w:val="21"/>
        </w:rPr>
        <w:t>二、考试目标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adjustRightInd w:val="0"/>
        <w:ind w:firstLine="359" w:firstLineChars="171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该科目为选拔应用经济学的学术硕士研究生而设置，要求考生对西方经济学的基本概念、原理和思想具有较好的理解程度，并能够灵活运用所学宏微观经济学知识分析、解决实际应用问题。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adjustRightInd w:val="0"/>
        <w:ind w:firstLine="460" w:firstLineChars="218"/>
        <w:jc w:val="left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三、考试形式和试卷结构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adjustRightInd w:val="0"/>
        <w:ind w:firstLine="464" w:firstLineChars="221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（一）试卷满分及考试时间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adjustRightInd w:val="0"/>
        <w:ind w:firstLine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本试卷满分为 </w:t>
      </w:r>
      <w:r>
        <w:rPr>
          <w:rFonts w:ascii="宋体" w:hAnsi="宋体"/>
          <w:color w:val="000000"/>
          <w:kern w:val="0"/>
          <w:szCs w:val="21"/>
        </w:rPr>
        <w:t xml:space="preserve">150 </w:t>
      </w:r>
      <w:r>
        <w:rPr>
          <w:rFonts w:hint="eastAsia" w:ascii="宋体" w:hAnsi="宋体" w:cs="宋体"/>
          <w:color w:val="000000"/>
          <w:kern w:val="0"/>
          <w:szCs w:val="21"/>
        </w:rPr>
        <w:t>分，考试时间为</w:t>
      </w:r>
      <w:r>
        <w:rPr>
          <w:rFonts w:ascii="宋体" w:hAnsi="宋体"/>
          <w:color w:val="000000"/>
          <w:kern w:val="0"/>
          <w:szCs w:val="21"/>
        </w:rPr>
        <w:t xml:space="preserve">180 </w:t>
      </w:r>
      <w:r>
        <w:rPr>
          <w:rFonts w:hint="eastAsia" w:ascii="宋体" w:hAnsi="宋体" w:cs="宋体"/>
          <w:color w:val="000000"/>
          <w:kern w:val="0"/>
          <w:szCs w:val="21"/>
        </w:rPr>
        <w:t>分钟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adjustRightInd w:val="0"/>
        <w:ind w:firstLine="464" w:firstLineChars="221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（二）答题方式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adjustRightInd w:val="0"/>
        <w:ind w:firstLine="359" w:firstLineChars="171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答题方式为闭卷、笔试。试卷由试题和答题纸组成，答案必须写在答题纸上。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（三）试卷的结构与题型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原则上微观经济学和宏观经学各占50%，题型为名词解释、辨析与简答、作图与推导、计算、论述、材料分析等。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2" w:firstLineChars="200"/>
        <w:rPr>
          <w:rFonts w:hint="eastAsia" w:ascii="宋体" w:hAnsi="宋体" w:cs="黑体"/>
          <w:b/>
          <w:color w:val="000000"/>
          <w:szCs w:val="21"/>
        </w:rPr>
      </w:pPr>
      <w:r>
        <w:rPr>
          <w:rFonts w:hint="eastAsia" w:ascii="宋体" w:hAnsi="宋体" w:cs="黑体"/>
          <w:b/>
          <w:color w:val="000000"/>
          <w:szCs w:val="21"/>
        </w:rPr>
        <w:t>四、考试内容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黑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               </w:t>
      </w:r>
      <w:r>
        <w:rPr>
          <w:rFonts w:hint="eastAsia" w:ascii="宋体" w:hAnsi="宋体" w:cs="黑体"/>
          <w:b/>
          <w:color w:val="000000"/>
          <w:szCs w:val="21"/>
        </w:rPr>
        <w:t xml:space="preserve">（微观部分） 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第一章  西方经济学概论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一、西方经济学说的历史与发展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二、西方经济学的研究对象、方法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第二章  需求与供给 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一、需求、需求函数、需求定理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二、供给、供给函数、供给定理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三、均衡、均衡价格、供求曲线变动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四、内生变量、外生变量及其分析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五、弹性及影响因素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六、价格限制分析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七、蛛网模型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第三章  效用论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一、效用理论、消费者剩余及均衡分析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二、偏好、无差异曲线与边际替代率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三、预算线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四、消费者均衡分析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五、价格变化和收入变化对均衡影响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六、替代效应与收入效应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七、不确定性、期望效用与风险 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第四章  生产论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一、厂商的概念及目标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二、生产函数及形式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三、一种可变要素生产函数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四、总产量、平均产量和边际产量含义与关系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五、边际报酬递减规律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六、短期生产三个阶段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七、两种可变要素的生产函数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八、等产量曲线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九、边际技术替代率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十、等成本线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十一、最优生产要素组合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十二、规模报酬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第五章  成本论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一、各种成本的概念、相互关系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二、各种短期成本曲线随产量变化的关系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三、各种短期成本曲线之间的相互关系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四、各种长期成本曲线随产量变化的关系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五、长期成本曲线与短期成本曲线的相互关系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六、规模经济、内在经济与内在不经济、外在经济与外在不经济的含义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七、最优产出率与最优规模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第六章  完全竞争市场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一、厂商与市场类型的含义与特征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二、完全竞争市场的条件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三、完全竞争市场的收益曲线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四、厂商实现短期均衡和长期均衡的条件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五、完全竞争市场厂商的短期供给曲线与长期供给曲线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六、生产者剩余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第七章  不完全竞争市场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一、垄断的特点和成因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二、垄断厂商的需求曲线与收益曲线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三、垄断厂商的短期均衡与长期均衡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四、垄断厂商的供给曲线与价格歧视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五、垄断竞争市场的条件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六、垄断竞争厂商的需求曲线与供给曲线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七、垄断竞争厂商的短期均衡与长期均衡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八、寡头垄断市场的概念与特征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九、古诺模型与斯威齐模型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十、博弈论初步知识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第八章  要素价格决定的需求方面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一、生产要素及其报酬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二、引致需求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三、完全竞争厂商与卖方垄断厂商使用生产要素的原则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四、完全竞争厂商与卖方垄断厂商对生产要素的需求曲线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五、厂商需求曲线与市场需求曲线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六、买方垄断情况下生产要素的价格与数量决定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第九章  要素价格决定的供给方面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一、要素供给、原则与无差异分析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二、劳动供给曲线、替代效应和收入效应、工资率决定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三、歧视经济学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四、土地供给曲线与地租决定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五、资本、资本供给与利息决定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六、欧拉定理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七、洛伦兹曲线与基尼系数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八、贫困分析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第十章  一般均衡论和福利经济学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一、一般均衡及实现过程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二、经济效率与判断标准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三、埃奇渥斯盒状图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四、交换、生产的帕累托最优条件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五、完全竞争与帕累托最优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六、社会福利函数、不可能性定理与均衡多样性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七、效率和公平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第十一章  市场失灵和微观经济政策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一、垄断与低效率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二、寻租理论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三、政府管制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四、外部影响与解决方法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五、科斯定理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六、排他性与竞争性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七、公共物品与公共资源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八、信息不完全和不对称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九、逆向选择与道德风险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十、委托代理问题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黑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             </w:t>
      </w:r>
      <w:r>
        <w:rPr>
          <w:rFonts w:hint="eastAsia" w:ascii="宋体" w:hAnsi="宋体" w:cs="黑体"/>
          <w:b/>
          <w:color w:val="000000"/>
          <w:szCs w:val="21"/>
        </w:rPr>
        <w:t xml:space="preserve">  （宏观部分）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第十二章  国民收入核算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一：宏观经济学的概念、研究对象与特点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二：宏观经济学与微观经济学的区别和联系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三：凯恩斯宏观经济学的形成与发展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四：新古典宏观经济学和新凯恩斯主义经济学的基本理论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五：GDP、GNP、DPI的概念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六：名义GDP、实际GDP、GDP平减指数（GDP deflator）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七：生产法与收入法核算GDP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八：收入循环模型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第十三章  简单国民收入决定理论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一：均衡产出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二：消费函数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三：两部门与三部门中国民收入的决定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四：乘数理论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第十四章 产品市场和货币市场的一般均衡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一：投资的决定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二：利率的决定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三：IS-LM分析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四：凯恩斯的国民收入决定理论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第十五章  宏观经济政策分析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一：财政政策的影响和效果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二：货币政策的影响和效果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三：财政政策与货币政策的配合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第十六章  宏观经济政策实践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一：经济政策目标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二：财政政策工具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三：功能财政、赤字与公债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四：充分就业与就业预算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五：货币政策工具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六：存款创造、基础货币与货币乘数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七：西方的宏观经济政策实践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八：证券一级市场与二级市场：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九：期货与期权市场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十：现值、投资收益与风险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第十七章  AS—AD模型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一：衰退与萧条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二：AD曲线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三：AS曲线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四：AS—AD模型对现实的解释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第十八章  失业和通货膨胀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一：失业、周期性失业与自然失业率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二：奥肯定律与牺牲率sacrifice ratio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三：最低工资与效率工资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四：通货膨胀的概念、度量与分类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五：通货膨胀的成因、影响与治理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六：消费者价格指数CPI与生产者价格指数PPI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七：费雪效应Fisher Effect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八：菲利普斯曲线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第十九章  国际经济学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一：比较优势理论与绝对优势理论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二：Heckscher—Ohlin理论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三：金本位制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四：布雷顿森林体系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五：外汇市场干预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第二十章  国际经济学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一：汇率、标价与汇率制度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二：实际汇率与均衡汇率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三：购买力平价理论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四：国际收支平衡表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五：开放经济下的财政与货币政策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第二十一章  经济增长与经济周期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一：增长核算方程与新古典增长理论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二：生产率的作用与决定因素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三：经济增长政策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四：收益递减(diminishing returns )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五、追赶效应(catch-up effect)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六：经济周期含义与特征</w:t>
      </w:r>
    </w:p>
    <w:p>
      <w:pPr>
        <w:framePr w:w="0"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七：实际经济周期(RBC)理论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F2FFA"/>
    <w:rsid w:val="6D4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2019-07-03T09:23:00Z</dcterms:created>
  <dc:creator>Administrator</dc:creator>
  <cp:lastModifiedBy>Administrator</cp:lastModifiedBy>
  <dcterms:modified xsi:type="dcterms:W3CDTF">2019-07-03T09:28:12Z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